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Planificação Geral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letivo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2024</w:t>
      </w:r>
      <w:r w:rsidDel="00000000" w:rsidR="00000000" w:rsidRPr="00000000">
        <w:rPr>
          <w:rtl w:val="0"/>
        </w:rPr>
      </w:r>
    </w:p>
    <w:tbl>
      <w:tblPr>
        <w:tblStyle w:val="Table1"/>
        <w:tblW w:w="98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233"/>
        <w:gridCol w:w="4798"/>
        <w:gridCol w:w="1793"/>
        <w:tblGridChange w:id="0">
          <w:tblGrid>
            <w:gridCol w:w="3233"/>
            <w:gridCol w:w="4798"/>
            <w:gridCol w:w="1793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Manual adotado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Ano de Escolaridade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Ciências Naturais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“Liga-te à Vida 9”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Cachado C.,  Paixão H. et al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RAÍZ EDITORA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9.º ano</w:t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leader="none" w:pos="3945"/>
        </w:tabs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4"/>
        <w:gridCol w:w="866"/>
        <w:tblGridChange w:id="0">
          <w:tblGrid>
            <w:gridCol w:w="8974"/>
            <w:gridCol w:w="866"/>
          </w:tblGrid>
        </w:tblGridChange>
      </w:tblGrid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Aulas Previstas: 76* / semestre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Conteúdos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Viver Melhor na Terra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SAÚDE HUMANA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left="720" w:firstLine="0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1.1 Vida Saudável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(1)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left="720" w:firstLine="0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1.2 Organização do Corpo Humano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left="720" w:firstLine="0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1.3 Alimentação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016">
            <w:pPr>
              <w:spacing w:after="0" w:line="360" w:lineRule="auto"/>
              <w:ind w:left="720" w:firstLine="0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ind w:left="720" w:firstLine="0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mallCaps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SISTEMAS E MANUTENÇÃO DA VIDA</w:t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ind w:left="720" w:firstLine="0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2.1 Sistema Digestivo</w:t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ind w:left="720" w:firstLine="0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2.2 Sistema Cardiovascular e Linfático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ind w:left="720" w:firstLine="0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2.3 Sistema Respiratório</w:t>
            </w:r>
          </w:p>
          <w:p w:rsidR="00000000" w:rsidDel="00000000" w:rsidP="00000000" w:rsidRDefault="00000000" w:rsidRPr="00000000" w14:paraId="0000001C">
            <w:pPr>
              <w:spacing w:after="0" w:line="360" w:lineRule="auto"/>
              <w:ind w:left="720" w:firstLine="0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2.4 Suporte Básico de Vida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(3)</w:t>
            </w:r>
          </w:p>
          <w:p w:rsidR="00000000" w:rsidDel="00000000" w:rsidP="00000000" w:rsidRDefault="00000000" w:rsidRPr="00000000" w14:paraId="0000001D">
            <w:pPr>
              <w:spacing w:after="0" w:line="360" w:lineRule="auto"/>
              <w:ind w:left="720" w:firstLine="0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2.5 Sistema Excretor</w:t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ind w:left="720" w:firstLine="0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2.6 Sistemas Nervosos e Hormonal</w:t>
            </w:r>
          </w:p>
          <w:p w:rsidR="00000000" w:rsidDel="00000000" w:rsidP="00000000" w:rsidRDefault="00000000" w:rsidRPr="00000000" w14:paraId="0000001F">
            <w:pPr>
              <w:spacing w:after="0" w:line="360" w:lineRule="auto"/>
              <w:ind w:left="720" w:firstLine="0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smallCaps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TRANSMISSÃO DA VIDA</w:t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ind w:left="720" w:firstLine="0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3.1 Sistema Reprodutor</w:t>
            </w:r>
          </w:p>
          <w:p w:rsidR="00000000" w:rsidDel="00000000" w:rsidP="00000000" w:rsidRDefault="00000000" w:rsidRPr="00000000" w14:paraId="00000022">
            <w:pPr>
              <w:spacing w:after="0" w:line="360" w:lineRule="auto"/>
              <w:ind w:left="720" w:firstLine="0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3.2 Genética</w:t>
            </w:r>
          </w:p>
          <w:p w:rsidR="00000000" w:rsidDel="00000000" w:rsidP="00000000" w:rsidRDefault="00000000" w:rsidRPr="00000000" w14:paraId="00000023">
            <w:pPr>
              <w:spacing w:after="0" w:line="360" w:lineRule="auto"/>
              <w:ind w:left="720" w:firstLine="0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70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Este tema será abordado de forma contextualizada ao longo do semestre, com o estudo do Organismo Humano em Equilíbrio, analisando indicadores de saúde/ estratégias de promoção da saúde específicos.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Este subtema será abordado no início do 1º semestre, tendo em conta a comemoração da Semana Saudável (17 a 21 de outubro).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120" w:line="240" w:lineRule="auto"/>
              <w:ind w:left="720" w:hanging="360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Este subtema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será abordado de acordo com a disponibilidade dos formadores convidados.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ind w:left="31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 Devem contabilizar-se as aulas destinadas a apresentação, momentos de avaliação formal e de autoavaliação.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102" w:left="1134" w:right="567" w:header="708" w:footer="1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493.0" w:type="dxa"/>
      <w:jc w:val="center"/>
      <w:tblLayout w:type="fixed"/>
      <w:tblLook w:val="0400"/>
    </w:tblPr>
    <w:tblGrid>
      <w:gridCol w:w="4215"/>
      <w:gridCol w:w="1872"/>
      <w:gridCol w:w="3406"/>
      <w:tblGridChange w:id="0">
        <w:tblGrid>
          <w:gridCol w:w="4215"/>
          <w:gridCol w:w="1872"/>
          <w:gridCol w:w="3406"/>
        </w:tblGrid>
      </w:tblGridChange>
    </w:tblGrid>
    <w:tr>
      <w:trPr>
        <w:cantSplit w:val="0"/>
        <w:trHeight w:val="120" w:hRule="atLeast"/>
        <w:tblHeader w:val="0"/>
      </w:trPr>
      <w:tc>
        <w:tcPr>
          <w:shd w:fill="auto" w:val="clear"/>
          <w:tcMar>
            <w:left w:w="28.0" w:type="dxa"/>
            <w:right w:w="28.0" w:type="dxa"/>
          </w:tcMar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Avenida Padre Alírio de Mello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3840 – 404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VAGOS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tcMar>
            <w:left w:w="28.0" w:type="dxa"/>
            <w:right w:w="28.0" w:type="dxa"/>
          </w:tcMar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361950" cy="323850"/>
                <wp:effectExtent b="0" l="0" r="0" t="0"/>
                <wp:docPr id="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left w:w="28.0" w:type="dxa"/>
            <w:right w:w="28.0" w:type="dxa"/>
          </w:tcMar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234 793 774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0" w:hRule="atLeast"/>
        <w:tblHeader w:val="0"/>
      </w:trPr>
      <w:tc>
        <w:tcPr>
          <w:shd w:fill="auto" w:val="clear"/>
          <w:tcMar>
            <w:left w:w="28.0" w:type="dxa"/>
            <w:right w:w="28.0" w:type="dxa"/>
          </w:tcMar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left w:w="28.0" w:type="dxa"/>
            <w:right w:w="28.0" w:type="dxa"/>
          </w:tcMar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left w:w="28.0" w:type="dxa"/>
            <w:right w:w="28.0" w:type="dxa"/>
          </w:tcMar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http://www.aevagos.edu.pt</w:t>
            </w:r>
          </w:hyperlink>
          <w:hyperlink r:id="rId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/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-299401</wp:posOffset>
          </wp:positionH>
          <wp:positionV relativeFrom="paragraph">
            <wp:posOffset>-248283</wp:posOffset>
          </wp:positionV>
          <wp:extent cx="5638800" cy="49530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637" l="0" r="0" t="0"/>
                  <a:stretch>
                    <a:fillRect/>
                  </a:stretch>
                </pic:blipFill>
                <pic:spPr>
                  <a:xfrm>
                    <a:off x="0" y="0"/>
                    <a:ext cx="5638800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7005"/>
  </w:style>
  <w:style w:type="paragraph" w:styleId="Footer">
    <w:name w:val="footer"/>
    <w:basedOn w:val="Normal"/>
    <w:link w:val="FooterChar"/>
    <w:unhideWhenUsed w:val="1"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987005"/>
  </w:style>
  <w:style w:type="character" w:styleId="Hyperlink">
    <w:name w:val="Hyperlink"/>
    <w:rsid w:val="00000086"/>
    <w:rPr>
      <w:color w:val="0000ff"/>
      <w:u w:val="single"/>
    </w:rPr>
  </w:style>
  <w:style w:type="table" w:styleId="TableGrid">
    <w:name w:val="Table Grid"/>
    <w:basedOn w:val="TableNormal"/>
    <w:uiPriority w:val="59"/>
    <w:rsid w:val="00000086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D2B5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D2B5E"/>
    <w:rPr>
      <w:rFonts w:ascii="Tahoma" w:cs="Tahoma" w:hAnsi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73202E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aevagos.edu.pt/" TargetMode="External"/><Relationship Id="rId3" Type="http://schemas.openxmlformats.org/officeDocument/2006/relationships/hyperlink" Target="http://www.aevagos.edu.p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q9wfxYwoQE+6yEsd9kiwS7dZQ==">CgMxLjA4AHIhMUNhVnA1NFFBdUFIcE9mT3lMVFIyTHVBTmVlUHNCQjJu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2023-09-08T11:12:00Z</dcterms:created>
  <dc:creator>Eduardo Bizarro</dc:creator>
</cp:coreProperties>
</file>