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961"/>
          <w:tab w:val="left" w:leader="none" w:pos="7500"/>
        </w:tabs>
        <w:rPr>
          <w:b w:val="1"/>
          <w:smallCaps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mallCaps w:val="1"/>
          <w:sz w:val="28"/>
          <w:szCs w:val="28"/>
        </w:rPr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page">
              <wp:posOffset>6186805</wp:posOffset>
            </wp:positionH>
            <wp:positionV relativeFrom="page">
              <wp:posOffset>263525</wp:posOffset>
            </wp:positionV>
            <wp:extent cx="966000" cy="651000"/>
            <wp:effectExtent b="0" l="0" r="0" t="0"/>
            <wp:wrapNone/>
            <wp:docPr id="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000" cy="65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             </w:t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-614044</wp:posOffset>
            </wp:positionH>
            <wp:positionV relativeFrom="paragraph">
              <wp:posOffset>-571499</wp:posOffset>
            </wp:positionV>
            <wp:extent cx="1688465" cy="939165"/>
            <wp:effectExtent b="0" l="0" r="0" t="0"/>
            <wp:wrapSquare wrapText="bothSides" distB="45720" distT="45720" distL="114300" distR="11430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939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leader="none" w:pos="4961"/>
          <w:tab w:val="left" w:leader="none" w:pos="7500"/>
        </w:tabs>
        <w:jc w:val="center"/>
        <w:rPr>
          <w:b w:val="1"/>
          <w:smallCaps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Planificação Geral</w:t>
        <w:br w:type="textWrapping"/>
      </w:r>
    </w:p>
    <w:tbl>
      <w:tblPr>
        <w:tblStyle w:val="Table1"/>
        <w:tblW w:w="100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301"/>
        <w:gridCol w:w="4898"/>
        <w:gridCol w:w="1830"/>
        <w:tblGridChange w:id="0">
          <w:tblGrid>
            <w:gridCol w:w="3301"/>
            <w:gridCol w:w="4898"/>
            <w:gridCol w:w="1830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BIOLOGIA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Manual adotado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BioFoco 12 (Areal Editores)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Ano de escolaridade 12º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Ano letivo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2023 /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Aulas Previstas: 96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961"/>
        <w:gridCol w:w="4962"/>
        <w:tblGridChange w:id="0">
          <w:tblGrid>
            <w:gridCol w:w="4961"/>
            <w:gridCol w:w="49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1º Semestre - 48 tl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2º Semestre - 48 tl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Conteúdos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Conteúdos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tabs>
                <w:tab w:val="left" w:leader="none" w:pos="200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Domínio 1- Reprodução e manipulação da fertilidade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200"/>
              </w:tabs>
              <w:ind w:left="175" w:hanging="175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1"/>
              </w:numPr>
              <w:tabs>
                <w:tab w:val="left" w:leader="none" w:pos="200"/>
                <w:tab w:val="left" w:leader="none" w:pos="350"/>
              </w:tabs>
              <w:ind w:left="36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Reprodução humana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200"/>
                <w:tab w:val="left" w:leader="none" w:pos="35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- Gametogénese e fecundação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200"/>
                <w:tab w:val="left" w:leader="none" w:pos="350"/>
              </w:tabs>
              <w:ind w:firstLine="18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 Regulação hormonal 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200"/>
                <w:tab w:val="left" w:leader="none" w:pos="350"/>
              </w:tabs>
              <w:ind w:firstLine="18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tabs>
                <w:tab w:val="left" w:leader="none" w:pos="200"/>
                <w:tab w:val="left" w:leader="none" w:pos="350"/>
              </w:tabs>
              <w:ind w:left="360" w:hanging="36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Manipulação da fertilidade</w:t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- Contracepção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-Diagnóstico da infertilidade humana 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- Procriação medicamente assistida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200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Domínio 2- Património genético</w:t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240"/>
              </w:tabs>
              <w:ind w:left="38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2"/>
              </w:numPr>
              <w:ind w:left="321" w:hanging="32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Hereditariedade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- Transmissão de características hereditárias 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    - Genética humana 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    - Organização e regulação do material genético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    - Monoibridismo e segregação fatorial 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    - Diibridismo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    - Princípios mendelianos e Teoria cromossómica da hereditariedade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    - Hereditariedade ligada ao sexo - trabalhos de Morgan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    - Herança de características humanas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right="201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Nota: Dada a flexibilidade na seleção de Domínios a lecionar, será discutido com os alunos a possibilidade de escolha entre os temas 3 e 4, no sentido de aproximar a abordagem curricular às suas preferências  e perspectivas de futuro académico. 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numPr>
                <w:ilvl w:val="1"/>
                <w:numId w:val="2"/>
              </w:numPr>
              <w:tabs>
                <w:tab w:val="left" w:leader="none" w:pos="0"/>
              </w:tabs>
              <w:ind w:left="500" w:hanging="50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Alterações do genoma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219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- Mutações</w:t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- Fundamentos da Engenharia Genética  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200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Domínio 3 - Imunidade e controlo de doenças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3.1. Sistema imunitário 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Conceitos introdutórios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- Imunidade 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- Defesas não específicas 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- Defesas específicas 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- Desequilíbrios e doenças 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3.2. Biotecnologia no diagnóstico e terapêutica de doenças 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Domínio 4- Produção de alimentos e sustentabilidade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4.1. Microorganismos e indústria alimentar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Fermentação e atividade enzimática </w:t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- Fatores que afetam a atividade enzimática </w:t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- Inibição enzimática </w:t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- Controle de vias metabólicas</w:t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- Fermentações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4.2. Exploração das potencialidades da Biosfera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Produção agrícola e produção pecuária</w:t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- Controlo de pragas</w:t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200"/>
                <w:tab w:val="left" w:leader="none" w:pos="350"/>
              </w:tabs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- Conservação, melhoramento e produção de novos alimentos.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992" w:top="1082" w:left="1133" w:right="850" w:header="851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leader="none" w:pos="9923"/>
      </w:tabs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Avenida Padre Alírio de Mello  </w:t>
    </w:r>
    <w:r w:rsidDel="00000000" w:rsidR="00000000" w:rsidRPr="00000000">
      <w:rPr>
        <w:color w:val="000000"/>
        <w:sz w:val="18"/>
        <w:szCs w:val="18"/>
        <w:rtl w:val="0"/>
      </w:rPr>
      <w:t xml:space="preserve">3840 – 404</w:t>
    </w:r>
    <w:r w:rsidDel="00000000" w:rsidR="00000000" w:rsidRPr="00000000">
      <w:rPr>
        <w:color w:val="000000"/>
        <w:sz w:val="20"/>
        <w:szCs w:val="20"/>
        <w:rtl w:val="0"/>
      </w:rPr>
      <w:t xml:space="preserve"> Vagos                                                                          </w:t>
    </w: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http://www.aevagos.edu.pt</w:t>
      </w:r>
    </w:hyperlink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/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3056255</wp:posOffset>
          </wp:positionH>
          <wp:positionV relativeFrom="paragraph">
            <wp:posOffset>36830</wp:posOffset>
          </wp:positionV>
          <wp:extent cx="419100" cy="371475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9100" cy="371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left" w:leader="none" w:pos="7365"/>
        <w:tab w:val="right" w:leader="none" w:pos="9923"/>
      </w:tabs>
      <w:jc w:val="right"/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Tel: </w:t>
    </w:r>
    <w:r w:rsidDel="00000000" w:rsidR="00000000" w:rsidRPr="00000000">
      <w:rPr>
        <w:color w:val="000000"/>
        <w:sz w:val="18"/>
        <w:szCs w:val="18"/>
        <w:rtl w:val="0"/>
      </w:rPr>
      <w:t xml:space="preserve">234 793 774</w:t>
    </w:r>
    <w:r w:rsidDel="00000000" w:rsidR="00000000" w:rsidRPr="00000000">
      <w:rPr>
        <w:color w:val="000000"/>
        <w:sz w:val="20"/>
        <w:szCs w:val="20"/>
        <w:rtl w:val="0"/>
      </w:rPr>
      <w:t xml:space="preserve">     Fax: </w:t>
    </w:r>
    <w:r w:rsidDel="00000000" w:rsidR="00000000" w:rsidRPr="00000000">
      <w:rPr>
        <w:color w:val="000000"/>
        <w:sz w:val="18"/>
        <w:szCs w:val="18"/>
        <w:rtl w:val="0"/>
      </w:rPr>
      <w:t xml:space="preserve">234 792 643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>
        <w:b w:val="1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720" w:hanging="72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080" w:hanging="108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440" w:hanging="1440"/>
      </w:pPr>
      <w:rPr/>
    </w:lvl>
  </w:abstractNum>
  <w:abstractNum w:abstractNumId="2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500" w:hanging="360"/>
      </w:pPr>
      <w:rPr/>
    </w:lvl>
    <w:lvl w:ilvl="2">
      <w:start w:val="1"/>
      <w:numFmt w:val="decimal"/>
      <w:lvlText w:val="%1.%2.%3"/>
      <w:lvlJc w:val="left"/>
      <w:pPr>
        <w:ind w:left="1000" w:hanging="720"/>
      </w:pPr>
      <w:rPr/>
    </w:lvl>
    <w:lvl w:ilvl="3">
      <w:start w:val="1"/>
      <w:numFmt w:val="decimal"/>
      <w:lvlText w:val="%1.%2.%3.%4"/>
      <w:lvlJc w:val="left"/>
      <w:pPr>
        <w:ind w:left="1140" w:hanging="720"/>
      </w:pPr>
      <w:rPr/>
    </w:lvl>
    <w:lvl w:ilvl="4">
      <w:start w:val="1"/>
      <w:numFmt w:val="decimal"/>
      <w:lvlText w:val="%1.%2.%3.%4.%5"/>
      <w:lvlJc w:val="left"/>
      <w:pPr>
        <w:ind w:left="1280" w:hanging="720"/>
      </w:pPr>
      <w:rPr/>
    </w:lvl>
    <w:lvl w:ilvl="5">
      <w:start w:val="1"/>
      <w:numFmt w:val="decimal"/>
      <w:lvlText w:val="%1.%2.%3.%4.%5.%6"/>
      <w:lvlJc w:val="left"/>
      <w:pPr>
        <w:ind w:left="1780" w:hanging="1080"/>
      </w:pPr>
      <w:rPr/>
    </w:lvl>
    <w:lvl w:ilvl="6">
      <w:start w:val="1"/>
      <w:numFmt w:val="decimal"/>
      <w:lvlText w:val="%1.%2.%3.%4.%5.%6.%7"/>
      <w:lvlJc w:val="left"/>
      <w:pPr>
        <w:ind w:left="1920" w:hanging="1080"/>
      </w:pPr>
      <w:rPr/>
    </w:lvl>
    <w:lvl w:ilvl="7">
      <w:start w:val="1"/>
      <w:numFmt w:val="decimal"/>
      <w:lvlText w:val="%1.%2.%3.%4.%5.%6.%7.%8"/>
      <w:lvlJc w:val="left"/>
      <w:pPr>
        <w:ind w:left="2420" w:hanging="1440"/>
      </w:pPr>
      <w:rPr/>
    </w:lvl>
    <w:lvl w:ilvl="8">
      <w:start w:val="1"/>
      <w:numFmt w:val="decimal"/>
      <w:lvlText w:val="%1.%2.%3.%4.%5.%6.%7.%8.%9"/>
      <w:lvlJc w:val="left"/>
      <w:pPr>
        <w:ind w:left="256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1" w:default="1">
    <w:name w:val="Normal"/>
    <w:uiPriority w:val="0"/>
    <w:qFormat w:val="1"/>
    <w:rPr>
      <w:rFonts w:asciiTheme="minorHAnsi" w:cstheme="minorBidi" w:eastAsiaTheme="minorEastAsia" w:hAnsiTheme="minorHAnsi"/>
      <w:sz w:val="24"/>
      <w:szCs w:val="24"/>
      <w:lang w:val="pt-PT"/>
    </w:rPr>
  </w:style>
  <w:style w:type="paragraph" w:styleId="2">
    <w:name w:val="heading 1"/>
    <w:next w:val="1"/>
    <w:uiPriority w:val="9"/>
    <w:qFormat w:val="1"/>
    <w:pPr>
      <w:keepNext w:val="1"/>
      <w:keepLines w:val="1"/>
      <w:spacing w:after="120" w:before="480"/>
      <w:outlineLvl w:val="0"/>
    </w:pPr>
    <w:rPr>
      <w:rFonts w:asciiTheme="minorHAnsi" w:cstheme="minorBidi" w:eastAsiaTheme="minorEastAsia" w:hAnsiTheme="minorHAnsi"/>
      <w:b w:val="1"/>
      <w:sz w:val="48"/>
      <w:szCs w:val="48"/>
      <w:lang w:val="pt-PT"/>
    </w:rPr>
  </w:style>
  <w:style w:type="paragraph" w:styleId="3">
    <w:name w:val="heading 2"/>
    <w:next w:val="1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rFonts w:asciiTheme="minorHAnsi" w:cstheme="minorBidi" w:eastAsiaTheme="minorEastAsia" w:hAnsiTheme="minorHAnsi"/>
      <w:b w:val="1"/>
      <w:sz w:val="36"/>
      <w:szCs w:val="36"/>
      <w:lang w:val="pt-PT"/>
    </w:rPr>
  </w:style>
  <w:style w:type="paragraph" w:styleId="4">
    <w:name w:val="heading 3"/>
    <w:next w:val="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rFonts w:asciiTheme="minorHAnsi" w:cstheme="minorBidi" w:eastAsiaTheme="minorEastAsia" w:hAnsiTheme="minorHAnsi"/>
      <w:b w:val="1"/>
      <w:sz w:val="28"/>
      <w:szCs w:val="28"/>
      <w:lang w:val="pt-PT"/>
    </w:rPr>
  </w:style>
  <w:style w:type="paragraph" w:styleId="5">
    <w:name w:val="heading 4"/>
    <w:next w:val="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rFonts w:asciiTheme="minorHAnsi" w:cstheme="minorBidi" w:eastAsiaTheme="minorEastAsia" w:hAnsiTheme="minorHAnsi"/>
      <w:b w:val="1"/>
      <w:sz w:val="24"/>
      <w:szCs w:val="24"/>
      <w:lang w:val="pt-PT"/>
    </w:rPr>
  </w:style>
  <w:style w:type="paragraph" w:styleId="6">
    <w:name w:val="heading 5"/>
    <w:next w:val="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rFonts w:asciiTheme="minorHAnsi" w:cstheme="minorBidi" w:eastAsiaTheme="minorEastAsia" w:hAnsiTheme="minorHAnsi"/>
      <w:b w:val="1"/>
      <w:sz w:val="22"/>
      <w:szCs w:val="22"/>
      <w:lang w:val="pt-PT"/>
    </w:rPr>
  </w:style>
  <w:style w:type="paragraph" w:styleId="7">
    <w:name w:val="heading 6"/>
    <w:next w:val="1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rFonts w:asciiTheme="minorHAnsi" w:cstheme="minorBidi" w:eastAsiaTheme="minorEastAsia" w:hAnsiTheme="minorHAnsi"/>
      <w:b w:val="1"/>
      <w:sz w:val="20"/>
      <w:szCs w:val="20"/>
      <w:lang w:val="pt-PT"/>
    </w:rPr>
  </w:style>
  <w:style w:type="character" w:styleId="8" w:default="1">
    <w:name w:val="Default Paragraph Font"/>
    <w:uiPriority w:val="1"/>
    <w:semiHidden w:val="1"/>
    <w:unhideWhenUsed w:val="1"/>
  </w:style>
  <w:style w:type="table" w:styleId="9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Subtitle"/>
    <w:next w:val="1"/>
    <w:uiPriority w:val="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  <w:lang w:val="pt-PT"/>
    </w:rPr>
  </w:style>
  <w:style w:type="paragraph" w:styleId="11">
    <w:name w:val="Title"/>
    <w:next w:val="1"/>
    <w:uiPriority w:val="10"/>
    <w:qFormat w:val="1"/>
    <w:pPr>
      <w:keepNext w:val="1"/>
      <w:keepLines w:val="1"/>
      <w:spacing w:after="120" w:before="480"/>
    </w:pPr>
    <w:rPr>
      <w:rFonts w:asciiTheme="minorHAnsi" w:cstheme="minorBidi" w:eastAsiaTheme="minorEastAsia" w:hAnsiTheme="minorHAnsi"/>
      <w:b w:val="1"/>
      <w:sz w:val="72"/>
      <w:szCs w:val="72"/>
      <w:lang w:val="pt-PT"/>
    </w:rPr>
  </w:style>
  <w:style w:type="table" w:styleId="12" w:customStyle="1">
    <w:name w:val="Table Normal"/>
    <w:uiPriority w:val="0"/>
    <w:qFormat w:val="1"/>
  </w:style>
  <w:style w:type="table" w:styleId="13" w:customStyle="1">
    <w:name w:val="_Style 20"/>
    <w:basedOn w:val="12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4" w:customStyle="1">
    <w:name w:val="_Style 21"/>
    <w:basedOn w:val="12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5" w:customStyle="1">
    <w:name w:val="_Style 22"/>
    <w:basedOn w:val="12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6" w:customStyle="1">
    <w:name w:val="_Style 24"/>
    <w:basedOn w:val="12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7" w:customStyle="1">
    <w:name w:val="_Style 25"/>
    <w:basedOn w:val="12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8" w:customStyle="1">
    <w:name w:val="_Style 26"/>
    <w:basedOn w:val="12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evagos.edu.pt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quLbGmQ9memMve0p9YrpbAZRQg==">CgMxLjAyCGguZ2pkZ3hzMgloLjMwajB6bGwyCGguZ2pkZ3hzOAByITFkVXdWbjlGMUZpeGptODQwZjlRQnBiRGV0Z0FlaTl5Vg==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2022-09-08T22:28:00Z</dcterms:created>
  <dc:creator>Utilizador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2070-12.2.0.13201</vt:lpwstr>
  </property>
  <property fmtid="{D5CDD505-2E9C-101B-9397-08002B2CF9AE}" pid="3" name="ICV">
    <vt:lpwstr>1DD0FACF855443FBA0900E8B34AE6933_13</vt:lpwstr>
  </property>
</Properties>
</file>